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Juvenile Delinquency: Intervention</w:t>
      </w:r>
    </w:p>
    <w:p w:rsidR="00223CF9" w:rsidRDefault="00607F59" w:rsidP="00223CF9">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Maurice Jones</w:t>
      </w:r>
    </w:p>
    <w:p w:rsidR="00607F59" w:rsidRPr="00223CF9" w:rsidRDefault="00607F59" w:rsidP="00223CF9">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Grantham University</w:t>
      </w:r>
    </w:p>
    <w:p w:rsidR="00223CF9" w:rsidRPr="00223CF9" w:rsidRDefault="00607F59" w:rsidP="00223CF9">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July 16, 2019</w:t>
      </w:r>
      <w:bookmarkStart w:id="0" w:name="_GoBack"/>
      <w:bookmarkEnd w:id="0"/>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lastRenderedPageBreak/>
        <w:t>Juvenile Delinquency: Intervention</w:t>
      </w: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Introduction</w:t>
      </w: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223CF9">
        <w:rPr>
          <w:rFonts w:ascii="Times New Roman" w:hAnsi="Times New Roman" w:cs="Times New Roman"/>
          <w:color w:val="222222"/>
          <w:sz w:val="24"/>
          <w:szCs w:val="24"/>
          <w:shd w:val="clear" w:color="auto" w:fill="FFFFFF"/>
        </w:rPr>
        <w:t xml:space="preserve"> Juvenile delinquency is a concern in contemporary society since cases of criminal acts by the minors count high. Today’s court witnesses the rise of juvenile delinquencies, as many cases presented in court, involve children under the age of 18 years. However, there are state laws that govern juvenile justice and this lead to the enactment of a minor code which guides the court and any relevant party to arrive a decision during the giving of judgment to a juvenile criminal (Krohn &amp; Lanes, 2015). The rate at which the minors commit juvenile delinquencies is increasingly high because of lack of proper communication at the family level, single parenting and post- family break traumas, poverty and lack of social and moral training (Greenwald, 2014). When the minors commit a mistake which goes uncorrected, it becomes a habit which develops to personality. At this level, it becomes hard for the family or the general public to intervene and impact positively of the behavior of the minor. Therefore, explores the effectiveness of an intervention to juvenile delinquencies at the family, church, and school and government and NGOs level. </w:t>
      </w: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Problem Statement</w:t>
      </w: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223CF9">
        <w:rPr>
          <w:rFonts w:ascii="Times New Roman" w:hAnsi="Times New Roman" w:cs="Times New Roman"/>
          <w:color w:val="222222"/>
          <w:sz w:val="24"/>
          <w:szCs w:val="24"/>
          <w:shd w:val="clear" w:color="auto" w:fill="FFFFFF"/>
        </w:rPr>
        <w:t xml:space="preserve"> The recent researches hold that juvenile offenders act out of disabilities associated with personal identity. The personality issues start during the early life of an individual due to lack of family love, agony caused by misfortunes such as the death of parent or guardian, breaking away of family, poverty and other social problems that face the minors. In short, the disabilities may be either, developmental, learning related, emotional, and behavioral but propelled by the mentioned factors.  Also, research statistics collected from various facilities that deals with juvenile delinquencies or rehabilitation of minors show that between 60 to 75 percent of these offenders </w:t>
      </w:r>
      <w:r w:rsidRPr="00223CF9">
        <w:rPr>
          <w:rFonts w:ascii="Times New Roman" w:hAnsi="Times New Roman" w:cs="Times New Roman"/>
          <w:color w:val="222222"/>
          <w:sz w:val="24"/>
          <w:szCs w:val="24"/>
          <w:shd w:val="clear" w:color="auto" w:fill="FFFFFF"/>
        </w:rPr>
        <w:lastRenderedPageBreak/>
        <w:t>have or get diagnosed with either one or two disabilities such as conduct and anxiety disorders, depression and Attention Deficit Hyperactive Disorder (ADHD) (Burfeind &amp; Bartusch, 2011). Therefore, the problem statement addressed in this paper is that juvenile delinquency is motivated by personality disabilities, which develop as minors interact and experience with people and situations in their immediate environment.</w:t>
      </w: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Purpose Statement</w:t>
      </w: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223CF9">
        <w:rPr>
          <w:rFonts w:ascii="Times New Roman" w:hAnsi="Times New Roman" w:cs="Times New Roman"/>
          <w:color w:val="222222"/>
          <w:sz w:val="24"/>
          <w:szCs w:val="24"/>
          <w:shd w:val="clear" w:color="auto" w:fill="FFFFFF"/>
        </w:rPr>
        <w:t xml:space="preserve"> This paper purposes of finding the solution to the increasing rate of crimes committed by the minors. The study, therefore, aims at proposing possible solutions to the problem of juvenile delinquency by discussing the prevention approaches to the developing personality disabilities and intervention methods that social institutions like the family, church, school, social clubs, and the government can adopt to curb the problem of juvenile delinquencies. It is, however, essential for a person to understand that if he or she has a specific disability, it does not mean they are likely to be involved in criminal or delinquent behavior (Greenwald, 2014). The study seeks to enable different stakeholders in the social institutions and organization dealing with the youth such as parents, teachers, and other members of the society on how they can gain awareness on disability. Also noteworthy is the identification of teenagers who struggle with personal identity and intervene before their problematic behavior </w:t>
      </w:r>
      <w:r w:rsidR="00A96810" w:rsidRPr="00223CF9">
        <w:rPr>
          <w:rFonts w:ascii="Times New Roman" w:hAnsi="Times New Roman" w:cs="Times New Roman"/>
          <w:color w:val="222222"/>
          <w:sz w:val="24"/>
          <w:szCs w:val="24"/>
          <w:shd w:val="clear" w:color="auto" w:fill="FFFFFF"/>
        </w:rPr>
        <w:t>becomes</w:t>
      </w:r>
      <w:r w:rsidRPr="00223CF9">
        <w:rPr>
          <w:rFonts w:ascii="Times New Roman" w:hAnsi="Times New Roman" w:cs="Times New Roman"/>
          <w:color w:val="222222"/>
          <w:sz w:val="24"/>
          <w:szCs w:val="24"/>
          <w:shd w:val="clear" w:color="auto" w:fill="FFFFFF"/>
        </w:rPr>
        <w:t xml:space="preserve"> a habit. Therefore, the various children handling institution and organization will learn to fight the stress and depression, learning challenges, adversities of groupthink among the minors and other developmental disabilities which may motivate juvenile delinquencies.</w:t>
      </w: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Research Questions</w:t>
      </w: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223CF9">
        <w:rPr>
          <w:rFonts w:ascii="Times New Roman" w:hAnsi="Times New Roman" w:cs="Times New Roman"/>
          <w:color w:val="222222"/>
          <w:sz w:val="24"/>
          <w:szCs w:val="24"/>
          <w:shd w:val="clear" w:color="auto" w:fill="FFFFFF"/>
        </w:rPr>
        <w:t>The questions solved by the study include:</w:t>
      </w: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lastRenderedPageBreak/>
        <w:t>a.    Do parents and guardians take time to interact with their children at the early developmental stages?</w:t>
      </w: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b.    Do the parents and guardians know the pattern of behavior of their children and whether the children experience developments disabilities?</w:t>
      </w: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c.    What are the various undertakings which the school adapt to ensure learners behave by the set school rules and the norms of the larger society?</w:t>
      </w: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d.    Does the school seek to know if a particular minor faced any traumatic event in his or her life recently?</w:t>
      </w: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Significance of the study</w:t>
      </w: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223CF9">
        <w:rPr>
          <w:rFonts w:ascii="Times New Roman" w:hAnsi="Times New Roman" w:cs="Times New Roman"/>
          <w:color w:val="222222"/>
          <w:sz w:val="24"/>
          <w:szCs w:val="24"/>
          <w:shd w:val="clear" w:color="auto" w:fill="FFFFFF"/>
        </w:rPr>
        <w:t xml:space="preserve"> By identifying the effects of the developmental disabilities which face some of the minors, this paper will enable different social institutions dealing with the child to reduce chances of committing crimes by the minors. The groups mentioned with strive to stop the development of the disability and instead impart in the minds of the children the sense of doing what morality acceptable by the society is. The study will also be significant in raising awareness among various stakeholders in the community about paying attention to the critical problem and academic patterns that may point out to a specific disability (Krohn &amp; Lanes, 2015). Lastly, the paper will explore the involvement of various state governments in the eradication of poverty and enforcement of laws that govern active bringing up of the minor citizens.</w:t>
      </w: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Findings</w:t>
      </w: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1.    The Role of the State in Intervening Juvenile Delinquency</w:t>
      </w:r>
    </w:p>
    <w:p w:rsidR="00223CF9" w:rsidRPr="00223CF9" w:rsidRDefault="00223CF9" w:rsidP="00223CF9">
      <w:pPr>
        <w:spacing w:line="480" w:lineRule="auto"/>
        <w:ind w:firstLine="720"/>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lastRenderedPageBreak/>
        <w:t>States have laws that give direction to dealing with cases related to Juvenile delinquencies. They also present a guideline to how various institutions should prevent and intervene with situations involving juvenile offenders. For example, a state like sets aside finances to support the early prevention and intervention programs in issues affecting children. The government undertakes to raise a whole generation not only in physiological functions of the body but also moral- wise (Underwood &amp; Washington, 2016). It is evident that a state whose citizens behave morally attract development because incidences of crime are low hence low rooting of states resources. In the meantime, various countries have focused on endeavoring of accomplices to address evasion issues. Some of the areas in which the government supports include the following:</w:t>
      </w: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a.    Early Childhood Care and Education</w:t>
      </w:r>
    </w:p>
    <w:p w:rsidR="00223CF9" w:rsidRPr="00223CF9" w:rsidRDefault="00223CF9" w:rsidP="00223CF9">
      <w:pPr>
        <w:spacing w:line="480" w:lineRule="auto"/>
        <w:ind w:firstLine="720"/>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 xml:space="preserve">Some states make policies that ensure parents and guardians take care of the children, which are their responsibility. In situations where the children lack any parent or guardian to take care of them, the government chips in to provide adoption for such children (Jonson-Reid et al., 2018). For instance, a Hawaii program gives lifetime guardians to children who are orphaned or destitute and are at the risk of experiencing abuse; the program has served to, in a general sense, lessen maltreatment and negligence of children. Therefore, the children grow up experiencing love and care, and thus, they cannot indulge in moral decadence at their tender age. The program helps minors develop their personalities under the guidance of adoptive families. Other, forty states have home appearance tasks to help children escape the dangers of abuse or neglect at home. Various countries have initiated salary deduction from particular industries to support early childhood programs. For example, Georgia saved state resources to support the bringing up of pre-children and plans for four years. Colorado appointed a touch of its lousy behavior shirking resources for early youth ventures, and California incorporated 50-penny charge cigarettes to help first child headway organizations (similarly as smoking balancing activity programs). Also, in 2008, Illinois made the Commission on Children and Youth and invested its Early Learning. </w:t>
      </w: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2.    Truancy and School Dropout Prevention</w:t>
      </w:r>
    </w:p>
    <w:p w:rsidR="00223CF9" w:rsidRPr="00223CF9" w:rsidRDefault="00223CF9" w:rsidP="00223CF9">
      <w:pPr>
        <w:spacing w:line="480" w:lineRule="auto"/>
        <w:ind w:firstLine="720"/>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 xml:space="preserve">When minor fails to report to school without the knowledge of parents, guardians and the teachers, there are likely some impeding immoral acts by the minors. The behavior pattern of the particular child may have changed because he or she fights with a specific developmental disability. For this reason, many states lawmaking bodies have focused on keeping an eye on truancy and constraining school dropout rates (Bennett et al., 2018). A couple of states do data collection and research on school dropout and graduation rates to determine the morality of the minors and the impending danger which associates with lack of education. For example, California passed an understudy support rule in 2009 to need the manager to introduce a yearly report on understudies who drop out. In 2009, the state of Colorado implemented a law that punishes students from truancy. The state began a neutralizing activity experiment program guided by the Department of Education to reduce drop-out rates. Also, Colorado set an office of dropout neutralizing activity and understudies re-responsibility inside its Department of Education. The working environment is characteristic of reduced understudy drop-out rates and extending graduation rates (Bennett et al., 2018). Finally, Colorado made a private youth challenge corps program that gives nourishment exclusively to in threat youth, including the people who are routinely truant. </w:t>
      </w: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3.    The use of Evidence-Based Programs Model</w:t>
      </w:r>
    </w:p>
    <w:p w:rsidR="00223CF9" w:rsidRPr="00223CF9" w:rsidRDefault="00223CF9" w:rsidP="00223CF9">
      <w:pPr>
        <w:spacing w:line="480" w:lineRule="auto"/>
        <w:ind w:firstLine="720"/>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Different social institutions dealing with juvenile offenders use the Evidence-Based Programs Model to prevent the occurrences of juvenile delinquencies. The two major used models include functional family therapy (FFT) and Multisystem therapy (MST). People use the two to impact positively on recidivism</w:t>
      </w:r>
      <w:r w:rsidR="00A628B0">
        <w:rPr>
          <w:rFonts w:ascii="Times New Roman" w:hAnsi="Times New Roman" w:cs="Times New Roman"/>
          <w:color w:val="222222"/>
          <w:sz w:val="24"/>
          <w:szCs w:val="24"/>
          <w:shd w:val="clear" w:color="auto" w:fill="FFFFFF"/>
        </w:rPr>
        <w:t xml:space="preserve"> </w:t>
      </w:r>
      <w:r w:rsidR="00A628B0" w:rsidRPr="00223CF9">
        <w:rPr>
          <w:rFonts w:ascii="Times New Roman" w:hAnsi="Times New Roman" w:cs="Times New Roman"/>
          <w:color w:val="222222"/>
          <w:sz w:val="24"/>
          <w:szCs w:val="24"/>
          <w:shd w:val="clear" w:color="auto" w:fill="FFFFFF"/>
        </w:rPr>
        <w:t>(Bennett et al., 2018)</w:t>
      </w:r>
      <w:r w:rsidRPr="00223CF9">
        <w:rPr>
          <w:rFonts w:ascii="Times New Roman" w:hAnsi="Times New Roman" w:cs="Times New Roman"/>
          <w:color w:val="222222"/>
          <w:sz w:val="24"/>
          <w:szCs w:val="24"/>
          <w:shd w:val="clear" w:color="auto" w:fill="FFFFFF"/>
        </w:rPr>
        <w:t>. FFT target to change the behavior of minors with delinquencies, violence or substance abuse while the MST give knowledge to parents, teachers and other members of the community on how to manage the behavior of the minors at home, school or any different social setting. The two approaches provide problem-solving skills to both the adults and the juveniles. States that use the EBP model include Florida, Pennsylvania, and Washington.</w:t>
      </w: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Discussion</w:t>
      </w:r>
    </w:p>
    <w:p w:rsidR="00223CF9" w:rsidRPr="00223CF9" w:rsidRDefault="00223CF9" w:rsidP="00223CF9">
      <w:pPr>
        <w:spacing w:line="480" w:lineRule="auto"/>
        <w:ind w:firstLine="720"/>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Parents and guardians responsible for taking care of children sometimes fail to interact with their children due to the demands of their work. As a result, children only get the guidance of teachers at school but lack parental guidance at home. However, various states have laws that control the bringing up of children both at home and school. For instance, some states line the Hawaii, Colorado, Florida, Pennsylvania, and Washington care for the minor citizens by working together with families, schools, and NGOs to safeguard the welfare of children. By doing so, developmental disabilities of the minor get corrected; thus, it brings about the reformation of behavior. The school strictly addresses the issue of truancy, and this helps reduce cases of school dropouts and increases the chance for students to graduate. For this reason, juvenile delinquencies reduce since the minors stay engaged.</w:t>
      </w:r>
    </w:p>
    <w:p w:rsidR="00223CF9" w:rsidRPr="00223CF9" w:rsidRDefault="00223CF9" w:rsidP="00223CF9">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Conclusion</w:t>
      </w: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223CF9">
        <w:rPr>
          <w:rFonts w:ascii="Times New Roman" w:hAnsi="Times New Roman" w:cs="Times New Roman"/>
          <w:color w:val="222222"/>
          <w:sz w:val="24"/>
          <w:szCs w:val="24"/>
          <w:shd w:val="clear" w:color="auto" w:fill="FFFFFF"/>
        </w:rPr>
        <w:t xml:space="preserve">  In conclusion, social institutions like the family, school, church, state governments, and the NGOs have the responsibility to intervene with Juvenile delinquencies to build a generation of people who are socially fit.  The key to addressing the problem of juvenile delinquency and disability must involve the collaborative efforts of various stakeholders in the community and at home to eradicate or reduce the involvement in criminal or delinquent behaviors. If many minors morality degrades then the entire society suffers the destruction of resources caused by illegal and overdependence of significant portion of the population. Success and prosperity of any states lie in the moral uprightness of all the citizens and therefore, intervening with delinquencies will enable the society to correct children at early stages.</w:t>
      </w: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223CF9">
      <w:pPr>
        <w:spacing w:line="480" w:lineRule="auto"/>
        <w:jc w:val="both"/>
        <w:rPr>
          <w:rFonts w:ascii="Times New Roman" w:hAnsi="Times New Roman" w:cs="Times New Roman"/>
          <w:color w:val="222222"/>
          <w:sz w:val="24"/>
          <w:szCs w:val="24"/>
          <w:shd w:val="clear" w:color="auto" w:fill="FFFFFF"/>
        </w:rPr>
      </w:pPr>
    </w:p>
    <w:p w:rsidR="00223CF9" w:rsidRPr="00223CF9" w:rsidRDefault="00223CF9" w:rsidP="004F7F70">
      <w:pPr>
        <w:spacing w:line="480" w:lineRule="auto"/>
        <w:jc w:val="center"/>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References</w:t>
      </w:r>
    </w:p>
    <w:p w:rsidR="004F7F70" w:rsidRPr="00223CF9" w:rsidRDefault="004F7F70" w:rsidP="004F7F70">
      <w:pPr>
        <w:spacing w:after="0" w:line="480" w:lineRule="auto"/>
        <w:ind w:left="794" w:right="-57" w:hanging="851"/>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Bennett, S., Mazerolle, L., Antrobus, E., Eggins, E., &amp; Piquero, A. R. (2018). Truancy intervention reduces crime: Results from a randomized field trial. Justice Quarterly, 35(2), 309-329.</w:t>
      </w:r>
    </w:p>
    <w:p w:rsidR="004F7F70" w:rsidRPr="00223CF9" w:rsidRDefault="004F7F70" w:rsidP="004F7F70">
      <w:pPr>
        <w:spacing w:after="0" w:line="480" w:lineRule="auto"/>
        <w:ind w:left="794" w:right="-57" w:hanging="851"/>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Burfeind, J. W., &amp; Bartusch, D. J. (2011). Juvenile delinquency: An integrated approach. Sudbury, Mss: Jones and Bartlett Publishers.</w:t>
      </w:r>
    </w:p>
    <w:p w:rsidR="004F7F70" w:rsidRPr="00223CF9" w:rsidRDefault="004F7F70" w:rsidP="004F7F70">
      <w:pPr>
        <w:spacing w:after="0" w:line="480" w:lineRule="auto"/>
        <w:ind w:left="794" w:right="-57" w:hanging="851"/>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Greenwald, R. (2014). Trauma and Juvenile Delinquency: Theory, Research, and Interventions. Hoboken: Taylor and Francis.</w:t>
      </w:r>
    </w:p>
    <w:p w:rsidR="004F7F70" w:rsidRPr="00223CF9" w:rsidRDefault="004F7F70" w:rsidP="004F7F70">
      <w:pPr>
        <w:spacing w:after="0" w:line="480" w:lineRule="auto"/>
        <w:ind w:left="794" w:right="-57" w:hanging="851"/>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Jonson-Reid, M., Dunnigan, A., &amp; Ryan, J. (2018). Foster Care and Juvenile Justice Systems. Handbook of foster youth, 456.</w:t>
      </w:r>
    </w:p>
    <w:p w:rsidR="004F7F70" w:rsidRPr="00223CF9" w:rsidRDefault="004F7F70" w:rsidP="004F7F70">
      <w:pPr>
        <w:spacing w:after="0" w:line="480" w:lineRule="auto"/>
        <w:ind w:left="794" w:right="-57" w:hanging="851"/>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Krohn, M. D., &amp; Lane, J. (2015). The handbook of juvenile delinquency and juvenile justice.</w:t>
      </w:r>
    </w:p>
    <w:p w:rsidR="004F7F70" w:rsidRPr="00223CF9" w:rsidRDefault="004F7F70" w:rsidP="004F7F70">
      <w:pPr>
        <w:spacing w:after="0" w:line="480" w:lineRule="auto"/>
        <w:ind w:left="794" w:right="-57" w:hanging="851"/>
        <w:jc w:val="both"/>
        <w:rPr>
          <w:rFonts w:ascii="Times New Roman" w:hAnsi="Times New Roman" w:cs="Times New Roman"/>
          <w:color w:val="222222"/>
          <w:sz w:val="24"/>
          <w:szCs w:val="24"/>
          <w:shd w:val="clear" w:color="auto" w:fill="FFFFFF"/>
        </w:rPr>
      </w:pPr>
      <w:r w:rsidRPr="00223CF9">
        <w:rPr>
          <w:rFonts w:ascii="Times New Roman" w:hAnsi="Times New Roman" w:cs="Times New Roman"/>
          <w:color w:val="222222"/>
          <w:sz w:val="24"/>
          <w:szCs w:val="24"/>
          <w:shd w:val="clear" w:color="auto" w:fill="FFFFFF"/>
        </w:rPr>
        <w:t>Piquero, A. R., Jennings, W. G., Diamond, B., Farrington, D. P., Tremblay, R. E., Welsh, B. C., &amp; Gonzalez, J. M. R. (2016). A meta-analysis update on the effects of early family/parent training programs on antisocial behavior and delinquency. Journal of Experimental Criminology, 12(2), 229-248.</w:t>
      </w:r>
    </w:p>
    <w:p w:rsidR="004F7F70" w:rsidRPr="00223CF9" w:rsidRDefault="004F7F70" w:rsidP="004F7F70">
      <w:pPr>
        <w:spacing w:after="0" w:line="480" w:lineRule="auto"/>
        <w:ind w:left="794" w:right="-57" w:hanging="851"/>
        <w:jc w:val="both"/>
        <w:rPr>
          <w:rFonts w:ascii="Times New Roman" w:hAnsi="Times New Roman" w:cs="Times New Roman"/>
          <w:sz w:val="24"/>
          <w:szCs w:val="24"/>
        </w:rPr>
      </w:pPr>
      <w:r w:rsidRPr="00223CF9">
        <w:rPr>
          <w:rFonts w:ascii="Times New Roman" w:hAnsi="Times New Roman" w:cs="Times New Roman"/>
          <w:color w:val="222222"/>
          <w:sz w:val="24"/>
          <w:szCs w:val="24"/>
          <w:shd w:val="clear" w:color="auto" w:fill="FFFFFF"/>
        </w:rPr>
        <w:t>Underwood, L., &amp; Washington, A. (2016). Mental illness and juvenile offenders. International journal of environmental research and public health, 13(2), 228.</w:t>
      </w:r>
    </w:p>
    <w:sectPr w:rsidR="004F7F70" w:rsidRPr="00223CF9" w:rsidSect="004B756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4CE" w:rsidRDefault="00DC04CE" w:rsidP="0057389C">
      <w:pPr>
        <w:spacing w:after="0" w:line="240" w:lineRule="auto"/>
      </w:pPr>
      <w:r>
        <w:separator/>
      </w:r>
    </w:p>
  </w:endnote>
  <w:endnote w:type="continuationSeparator" w:id="0">
    <w:p w:rsidR="00DC04CE" w:rsidRDefault="00DC04CE" w:rsidP="00573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4CE" w:rsidRDefault="00DC04CE" w:rsidP="0057389C">
      <w:pPr>
        <w:spacing w:after="0" w:line="240" w:lineRule="auto"/>
      </w:pPr>
      <w:r>
        <w:separator/>
      </w:r>
    </w:p>
  </w:footnote>
  <w:footnote w:type="continuationSeparator" w:id="0">
    <w:p w:rsidR="00DC04CE" w:rsidRDefault="00DC04CE" w:rsidP="005738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89C" w:rsidRPr="0057389C" w:rsidRDefault="0057389C" w:rsidP="0057389C">
    <w:pPr>
      <w:pStyle w:val="Header"/>
      <w:jc w:val="right"/>
      <w:rPr>
        <w:rFonts w:ascii="Times New Roman" w:hAnsi="Times New Roman" w:cs="Times New Roman"/>
        <w:sz w:val="24"/>
        <w:szCs w:val="24"/>
      </w:rPr>
    </w:pPr>
    <w:r w:rsidRPr="0057389C">
      <w:rPr>
        <w:rFonts w:ascii="Times New Roman" w:hAnsi="Times New Roman" w:cs="Times New Roman"/>
        <w:sz w:val="24"/>
        <w:szCs w:val="24"/>
      </w:rPr>
      <w:t>JUVENILE DELINQUENCY: INTERVENTION</w:t>
    </w:r>
    <w:sdt>
      <w:sdtPr>
        <w:rPr>
          <w:rFonts w:ascii="Times New Roman" w:hAnsi="Times New Roman" w:cs="Times New Roman"/>
          <w:sz w:val="24"/>
          <w:szCs w:val="24"/>
        </w:rPr>
        <w:id w:val="34908110"/>
        <w:docPartObj>
          <w:docPartGallery w:val="Page Numbers (Top of Page)"/>
          <w:docPartUnique/>
        </w:docPartObj>
      </w:sdtPr>
      <w:sdtEndPr/>
      <w:sdtContent>
        <w:r>
          <w:rPr>
            <w:rFonts w:ascii="Times New Roman" w:hAnsi="Times New Roman" w:cs="Times New Roman"/>
            <w:sz w:val="24"/>
            <w:szCs w:val="24"/>
          </w:rPr>
          <w:t xml:space="preserve">                                                                         </w:t>
        </w:r>
        <w:r w:rsidRPr="0057389C">
          <w:rPr>
            <w:rFonts w:ascii="Times New Roman" w:hAnsi="Times New Roman" w:cs="Times New Roman"/>
            <w:sz w:val="24"/>
            <w:szCs w:val="24"/>
          </w:rPr>
          <w:fldChar w:fldCharType="begin"/>
        </w:r>
        <w:r w:rsidRPr="0057389C">
          <w:rPr>
            <w:rFonts w:ascii="Times New Roman" w:hAnsi="Times New Roman" w:cs="Times New Roman"/>
            <w:sz w:val="24"/>
            <w:szCs w:val="24"/>
          </w:rPr>
          <w:instrText xml:space="preserve"> PAGE   \* MERGEFORMAT </w:instrText>
        </w:r>
        <w:r w:rsidRPr="0057389C">
          <w:rPr>
            <w:rFonts w:ascii="Times New Roman" w:hAnsi="Times New Roman" w:cs="Times New Roman"/>
            <w:sz w:val="24"/>
            <w:szCs w:val="24"/>
          </w:rPr>
          <w:fldChar w:fldCharType="separate"/>
        </w:r>
        <w:r w:rsidR="00607F59">
          <w:rPr>
            <w:rFonts w:ascii="Times New Roman" w:hAnsi="Times New Roman" w:cs="Times New Roman"/>
            <w:noProof/>
            <w:sz w:val="24"/>
            <w:szCs w:val="24"/>
          </w:rPr>
          <w:t>2</w:t>
        </w:r>
        <w:r w:rsidRPr="0057389C">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56B" w:rsidRPr="004B756B" w:rsidRDefault="004B756B" w:rsidP="004B756B">
    <w:pPr>
      <w:pStyle w:val="Header"/>
      <w:jc w:val="right"/>
      <w:rPr>
        <w:rFonts w:ascii="Times New Roman" w:hAnsi="Times New Roman" w:cs="Times New Roman"/>
        <w:sz w:val="24"/>
        <w:szCs w:val="24"/>
      </w:rPr>
    </w:pPr>
    <w:r w:rsidRPr="004B756B">
      <w:rPr>
        <w:rFonts w:ascii="Times New Roman" w:hAnsi="Times New Roman" w:cs="Times New Roman"/>
        <w:sz w:val="24"/>
        <w:szCs w:val="24"/>
      </w:rPr>
      <w:t>Running Head: JUVENILE DELINQUENCY: INTERVENTION</w:t>
    </w:r>
    <w:r>
      <w:rPr>
        <w:rFonts w:ascii="Times New Roman" w:hAnsi="Times New Roman" w:cs="Times New Roman"/>
        <w:sz w:val="24"/>
        <w:szCs w:val="24"/>
      </w:rPr>
      <w:t xml:space="preserve">                                               </w:t>
    </w:r>
    <w:r w:rsidRPr="004B756B">
      <w:rPr>
        <w:rFonts w:ascii="Times New Roman" w:hAnsi="Times New Roman" w:cs="Times New Roman"/>
        <w:sz w:val="24"/>
        <w:szCs w:val="24"/>
      </w:rPr>
      <w:t xml:space="preserve"> </w:t>
    </w:r>
    <w:sdt>
      <w:sdtPr>
        <w:rPr>
          <w:rFonts w:ascii="Times New Roman" w:hAnsi="Times New Roman" w:cs="Times New Roman"/>
          <w:sz w:val="24"/>
          <w:szCs w:val="24"/>
        </w:rPr>
        <w:id w:val="34908153"/>
        <w:docPartObj>
          <w:docPartGallery w:val="Page Numbers (Top of Page)"/>
          <w:docPartUnique/>
        </w:docPartObj>
      </w:sdtPr>
      <w:sdtEndPr/>
      <w:sdtContent>
        <w:r w:rsidRPr="004B756B">
          <w:rPr>
            <w:rFonts w:ascii="Times New Roman" w:hAnsi="Times New Roman" w:cs="Times New Roman"/>
            <w:sz w:val="24"/>
            <w:szCs w:val="24"/>
          </w:rPr>
          <w:fldChar w:fldCharType="begin"/>
        </w:r>
        <w:r w:rsidRPr="004B756B">
          <w:rPr>
            <w:rFonts w:ascii="Times New Roman" w:hAnsi="Times New Roman" w:cs="Times New Roman"/>
            <w:sz w:val="24"/>
            <w:szCs w:val="24"/>
          </w:rPr>
          <w:instrText xml:space="preserve"> PAGE   \* MERGEFORMAT </w:instrText>
        </w:r>
        <w:r w:rsidRPr="004B756B">
          <w:rPr>
            <w:rFonts w:ascii="Times New Roman" w:hAnsi="Times New Roman" w:cs="Times New Roman"/>
            <w:sz w:val="24"/>
            <w:szCs w:val="24"/>
          </w:rPr>
          <w:fldChar w:fldCharType="separate"/>
        </w:r>
        <w:r w:rsidR="00607F59">
          <w:rPr>
            <w:rFonts w:ascii="Times New Roman" w:hAnsi="Times New Roman" w:cs="Times New Roman"/>
            <w:noProof/>
            <w:sz w:val="24"/>
            <w:szCs w:val="24"/>
          </w:rPr>
          <w:t>1</w:t>
        </w:r>
        <w:r w:rsidRPr="004B756B">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hybridMultilevel"/>
    <w:tmpl w:val="3AD0AE12"/>
    <w:lvl w:ilvl="0" w:tplc="6540B69C">
      <w:start w:val="1"/>
      <w:numFmt w:val="upperLetter"/>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FC5227"/>
    <w:multiLevelType w:val="hybridMultilevel"/>
    <w:tmpl w:val="34F029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F285E00"/>
    <w:multiLevelType w:val="hybridMultilevel"/>
    <w:tmpl w:val="ABF8E43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1EC085E"/>
    <w:multiLevelType w:val="hybridMultilevel"/>
    <w:tmpl w:val="8BE2D8C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ADA02FC"/>
    <w:multiLevelType w:val="hybridMultilevel"/>
    <w:tmpl w:val="8032A19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7554BF7"/>
    <w:multiLevelType w:val="hybridMultilevel"/>
    <w:tmpl w:val="8BE2D8C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B28"/>
    <w:rsid w:val="00003708"/>
    <w:rsid w:val="000241D4"/>
    <w:rsid w:val="0002628B"/>
    <w:rsid w:val="00041344"/>
    <w:rsid w:val="0004267D"/>
    <w:rsid w:val="000436B1"/>
    <w:rsid w:val="00083111"/>
    <w:rsid w:val="000A5302"/>
    <w:rsid w:val="000C4B08"/>
    <w:rsid w:val="000D7549"/>
    <w:rsid w:val="000E040E"/>
    <w:rsid w:val="000E30AE"/>
    <w:rsid w:val="000E70D1"/>
    <w:rsid w:val="001046B7"/>
    <w:rsid w:val="00107B68"/>
    <w:rsid w:val="001265EF"/>
    <w:rsid w:val="00196B75"/>
    <w:rsid w:val="001D167C"/>
    <w:rsid w:val="001D6310"/>
    <w:rsid w:val="001E5BF6"/>
    <w:rsid w:val="00200017"/>
    <w:rsid w:val="002127A0"/>
    <w:rsid w:val="00223CF9"/>
    <w:rsid w:val="00250CE9"/>
    <w:rsid w:val="0025711C"/>
    <w:rsid w:val="002907FB"/>
    <w:rsid w:val="002B5E54"/>
    <w:rsid w:val="002B7A21"/>
    <w:rsid w:val="002C2290"/>
    <w:rsid w:val="002D330D"/>
    <w:rsid w:val="002F68CF"/>
    <w:rsid w:val="002F7D4E"/>
    <w:rsid w:val="00302FA9"/>
    <w:rsid w:val="0032457D"/>
    <w:rsid w:val="00341F80"/>
    <w:rsid w:val="0036471A"/>
    <w:rsid w:val="00377068"/>
    <w:rsid w:val="003811E0"/>
    <w:rsid w:val="0045608C"/>
    <w:rsid w:val="004630CF"/>
    <w:rsid w:val="0048093E"/>
    <w:rsid w:val="004942F5"/>
    <w:rsid w:val="004A5652"/>
    <w:rsid w:val="004B756B"/>
    <w:rsid w:val="004F7F70"/>
    <w:rsid w:val="005015A2"/>
    <w:rsid w:val="005064FC"/>
    <w:rsid w:val="00534965"/>
    <w:rsid w:val="005634A9"/>
    <w:rsid w:val="0057389C"/>
    <w:rsid w:val="0058092B"/>
    <w:rsid w:val="00585E16"/>
    <w:rsid w:val="00591B28"/>
    <w:rsid w:val="005950EA"/>
    <w:rsid w:val="005A70EC"/>
    <w:rsid w:val="005B3806"/>
    <w:rsid w:val="005C09C0"/>
    <w:rsid w:val="005C7647"/>
    <w:rsid w:val="005D43FB"/>
    <w:rsid w:val="00607736"/>
    <w:rsid w:val="00607F59"/>
    <w:rsid w:val="006141D4"/>
    <w:rsid w:val="006208A8"/>
    <w:rsid w:val="006370E0"/>
    <w:rsid w:val="00661750"/>
    <w:rsid w:val="00673435"/>
    <w:rsid w:val="006B2271"/>
    <w:rsid w:val="006D283C"/>
    <w:rsid w:val="006F78C5"/>
    <w:rsid w:val="007208B0"/>
    <w:rsid w:val="007368F5"/>
    <w:rsid w:val="007811AC"/>
    <w:rsid w:val="00784792"/>
    <w:rsid w:val="007A48F8"/>
    <w:rsid w:val="007B1544"/>
    <w:rsid w:val="007D4EF1"/>
    <w:rsid w:val="00811B21"/>
    <w:rsid w:val="008147A6"/>
    <w:rsid w:val="00863F8C"/>
    <w:rsid w:val="00872376"/>
    <w:rsid w:val="00886D2B"/>
    <w:rsid w:val="00895AE7"/>
    <w:rsid w:val="00895EA2"/>
    <w:rsid w:val="008A4C6A"/>
    <w:rsid w:val="008C4A4B"/>
    <w:rsid w:val="008D3E26"/>
    <w:rsid w:val="008F2A73"/>
    <w:rsid w:val="009174FC"/>
    <w:rsid w:val="009253AE"/>
    <w:rsid w:val="00931DB6"/>
    <w:rsid w:val="009471A5"/>
    <w:rsid w:val="00956AFA"/>
    <w:rsid w:val="00964B2B"/>
    <w:rsid w:val="00990165"/>
    <w:rsid w:val="009B2A8D"/>
    <w:rsid w:val="009D2C4E"/>
    <w:rsid w:val="00A36076"/>
    <w:rsid w:val="00A5736F"/>
    <w:rsid w:val="00A57E5D"/>
    <w:rsid w:val="00A628B0"/>
    <w:rsid w:val="00A73302"/>
    <w:rsid w:val="00A7612D"/>
    <w:rsid w:val="00A96810"/>
    <w:rsid w:val="00AA6ADC"/>
    <w:rsid w:val="00AC5797"/>
    <w:rsid w:val="00AC6456"/>
    <w:rsid w:val="00AD7B96"/>
    <w:rsid w:val="00AD7FFD"/>
    <w:rsid w:val="00AE302C"/>
    <w:rsid w:val="00B27173"/>
    <w:rsid w:val="00B401FE"/>
    <w:rsid w:val="00B606FB"/>
    <w:rsid w:val="00BE0763"/>
    <w:rsid w:val="00BE106F"/>
    <w:rsid w:val="00BE172F"/>
    <w:rsid w:val="00BE2D0A"/>
    <w:rsid w:val="00BF2F4D"/>
    <w:rsid w:val="00C02C5C"/>
    <w:rsid w:val="00C34875"/>
    <w:rsid w:val="00C64693"/>
    <w:rsid w:val="00C722ED"/>
    <w:rsid w:val="00CB666C"/>
    <w:rsid w:val="00CE46B8"/>
    <w:rsid w:val="00CE52BF"/>
    <w:rsid w:val="00CE6187"/>
    <w:rsid w:val="00CF0718"/>
    <w:rsid w:val="00D15475"/>
    <w:rsid w:val="00D4363B"/>
    <w:rsid w:val="00D823E2"/>
    <w:rsid w:val="00D82CAE"/>
    <w:rsid w:val="00DB3353"/>
    <w:rsid w:val="00DC04CE"/>
    <w:rsid w:val="00DE65E2"/>
    <w:rsid w:val="00DE68E9"/>
    <w:rsid w:val="00DF3C48"/>
    <w:rsid w:val="00DF6C3A"/>
    <w:rsid w:val="00E03198"/>
    <w:rsid w:val="00E14B50"/>
    <w:rsid w:val="00E17645"/>
    <w:rsid w:val="00E272AE"/>
    <w:rsid w:val="00E6340B"/>
    <w:rsid w:val="00E77C7F"/>
    <w:rsid w:val="00E94B3D"/>
    <w:rsid w:val="00E9535E"/>
    <w:rsid w:val="00E95CE8"/>
    <w:rsid w:val="00EC19BE"/>
    <w:rsid w:val="00EC30A6"/>
    <w:rsid w:val="00EC6455"/>
    <w:rsid w:val="00ED766E"/>
    <w:rsid w:val="00EE6505"/>
    <w:rsid w:val="00F16DF2"/>
    <w:rsid w:val="00F26DA2"/>
    <w:rsid w:val="00F3339D"/>
    <w:rsid w:val="00F542B7"/>
    <w:rsid w:val="00FA2AD5"/>
    <w:rsid w:val="00FB18FF"/>
    <w:rsid w:val="00FE4968"/>
    <w:rsid w:val="00FF12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306C50-FDE5-4371-9240-6E4D4B210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2C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435"/>
    <w:pPr>
      <w:spacing w:after="160" w:line="259" w:lineRule="auto"/>
      <w:ind w:left="720"/>
      <w:contextualSpacing/>
    </w:pPr>
    <w:rPr>
      <w:rFonts w:ascii="Calibri" w:eastAsia="Calibri" w:hAnsi="Calibri" w:cs="SimSun"/>
      <w:lang w:val="en-GB"/>
    </w:rPr>
  </w:style>
  <w:style w:type="paragraph" w:styleId="Header">
    <w:name w:val="header"/>
    <w:basedOn w:val="Normal"/>
    <w:link w:val="HeaderChar"/>
    <w:uiPriority w:val="99"/>
    <w:unhideWhenUsed/>
    <w:rsid w:val="00573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89C"/>
  </w:style>
  <w:style w:type="paragraph" w:styleId="Footer">
    <w:name w:val="footer"/>
    <w:basedOn w:val="Normal"/>
    <w:link w:val="FooterChar"/>
    <w:uiPriority w:val="99"/>
    <w:semiHidden/>
    <w:unhideWhenUsed/>
    <w:rsid w:val="005738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3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1900</Words>
  <Characters>10833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Jones, LaToya</cp:lastModifiedBy>
  <cp:revision>2</cp:revision>
  <dcterms:created xsi:type="dcterms:W3CDTF">2019-07-16T13:21:00Z</dcterms:created>
  <dcterms:modified xsi:type="dcterms:W3CDTF">2019-07-16T13:21:00Z</dcterms:modified>
</cp:coreProperties>
</file>